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5100"/>
        <w:gridCol w:w="5100"/>
      </w:tblGrid>
      <w:tr>
        <w:tc>
          <w:tcPr>
            <w:tcW w:type="dxa" w:w="1871"/>
          </w:tcPr>
          <w:p>
            <w:pPr>
              <w:spacing w:after="0"/>
            </w:pPr>
            <w:r>
              <w:drawing>
                <wp:inline xmlns:a="http://schemas.openxmlformats.org/drawingml/2006/main" xmlns:pic="http://schemas.openxmlformats.org/drawingml/2006/picture">
                  <wp:extent cx="1044000" cy="1211673"/>
                  <wp:docPr id="1" name="Picture 1"/>
                  <wp:cNvGraphicFramePr>
                    <a:graphicFrameLocks noChangeAspect="1"/>
                  </wp:cNvGraphicFramePr>
                  <a:graphic>
                    <a:graphicData uri="http://schemas.openxmlformats.org/drawingml/2006/picture">
                      <pic:pic>
                        <pic:nvPicPr>
                          <pic:cNvPr id="0" name="photo.jpg"/>
                          <pic:cNvPicPr/>
                        </pic:nvPicPr>
                        <pic:blipFill>
                          <a:blip r:embed="rId9"/>
                          <a:stretch>
                            <a:fillRect/>
                          </a:stretch>
                        </pic:blipFill>
                        <pic:spPr>
                          <a:xfrm>
                            <a:off x="0" y="0"/>
                            <a:ext cx="1044000" cy="1211673"/>
                          </a:xfrm>
                          <a:prstGeom prst="rect"/>
                        </pic:spPr>
                      </pic:pic>
                    </a:graphicData>
                  </a:graphic>
                </wp:inline>
              </w:drawing>
            </w:r>
          </w:p>
        </w:tc>
        <w:tc>
          <w:tcPr>
            <w:tcW w:type="dxa" w:w="7994"/>
          </w:tcPr>
          <w:p>
            <w:pPr>
              <w:spacing w:after="20"/>
            </w:pPr>
            <w:r>
              <w:rPr>
                <w:b/>
                <w:color w:val="8A4B6D"/>
                <w:sz w:val="44"/>
              </w:rPr>
              <w:t>MAGYAR GYULÁNÉ</w:t>
            </w:r>
          </w:p>
          <w:p>
            <w:pPr>
              <w:spacing w:after="20"/>
            </w:pPr>
            <w:r>
              <w:rPr>
                <w:color w:val="555555"/>
                <w:sz w:val="22"/>
              </w:rPr>
              <w:t>Tapasztalt eladó, pénztáros  |  Nyitott középvezetői szerepkörre</w:t>
            </w:r>
          </w:p>
          <w:p>
            <w:pPr>
              <w:spacing w:after="0"/>
            </w:pPr>
            <w:r>
              <w:rPr>
                <w:sz w:val="21"/>
              </w:rPr>
              <w:t>mazsuzsika@gmail.com</w:t>
            </w:r>
          </w:p>
        </w:tc>
      </w:tr>
    </w:tbl>
    <w:p>
      <w:pPr>
        <w:spacing w:before="240" w:after="100"/>
        <w:pBdr>
          <w:bottom w:val="single" w:sz="6" w:space="2" w:color="8A4B6D"/>
        </w:pBdr>
      </w:pPr>
      <w:r>
        <w:rPr>
          <w:b/>
          <w:color w:val="8A4B6D"/>
          <w:sz w:val="22"/>
        </w:rPr>
        <w:t>BEMUTATKOZÁS</w:t>
      </w:r>
    </w:p>
    <w:p>
      <w:pPr>
        <w:spacing w:after="0"/>
        <w:jc w:val="both"/>
      </w:pPr>
      <w:r>
        <w:rPr>
          <w:sz w:val="21"/>
        </w:rPr>
        <w:t>Több mint két évtizedes kiskereskedelmi tapasztalattal rendelkező eladó és pénztáros vagyok, akit vevői és kollégái egyaránt megbízható, pontos és segítőkész munkatársként ismernek. Munkámat mindig elismerés kísérte, feladataimat becsületesen és alapossággal végzem. Jó kapcsolatteremtő és konfliktuskezelési képességgel rendelkezem, csapatban és önállóan is otthonosan mozgok, emellett mindig mosolygós, pozitív hozzáállással fordulok a vevők és kollégák felé. Szeretnék tovább fejlődni, és szívesen kipróbálnám magam középvezetői szerepkörben is, ha erre lehetőséget kapok.</w:t>
      </w:r>
    </w:p>
    <w:p>
      <w:pPr>
        <w:spacing w:before="240" w:after="100"/>
        <w:pBdr>
          <w:bottom w:val="single" w:sz="6" w:space="2" w:color="8A4B6D"/>
        </w:pBdr>
      </w:pPr>
      <w:r>
        <w:rPr>
          <w:b/>
          <w:color w:val="8A4B6D"/>
          <w:sz w:val="22"/>
        </w:rPr>
        <w:t>SZAKMAI TAPASZTALAT</w:t>
      </w:r>
    </w:p>
    <w:p>
      <w:pPr>
        <w:tabs>
          <w:tab w:pos="9865" w:val="right"/>
        </w:tabs>
        <w:spacing w:before="140" w:after="0"/>
      </w:pPr>
      <w:r>
        <w:rPr>
          <w:b/>
          <w:sz w:val="22"/>
        </w:rPr>
        <w:t>Háda</w:t>
      </w:r>
      <w:r>
        <w:rPr>
          <w:color w:val="555555"/>
          <w:sz w:val="19"/>
        </w:rPr>
        <w:tab/>
        <w:t>2023 - jelenleg</w:t>
      </w:r>
    </w:p>
    <w:p>
      <w:pPr>
        <w:spacing w:after="20"/>
      </w:pPr>
      <w:r>
        <w:rPr>
          <w:i/>
          <w:color w:val="8A4B6D"/>
          <w:sz w:val="19"/>
        </w:rPr>
        <w:t>Eladó, pénztáros</w:t>
      </w:r>
    </w:p>
    <w:p>
      <w:pPr>
        <w:pStyle w:val="ListBullet"/>
        <w:spacing w:after="40" w:before="0" w:line="240" w:lineRule="auto"/>
        <w:ind w:left="283"/>
      </w:pPr>
      <w:r>
        <w:rPr>
          <w:sz w:val="21"/>
        </w:rPr>
        <w:t>Vevők magas színvonalú, közvetlen és udvarias kiszolgálása</w:t>
      </w:r>
    </w:p>
    <w:p>
      <w:pPr>
        <w:pStyle w:val="ListBullet"/>
        <w:spacing w:after="40" w:before="0" w:line="240" w:lineRule="auto"/>
        <w:ind w:left="283"/>
      </w:pPr>
      <w:r>
        <w:rPr>
          <w:sz w:val="21"/>
        </w:rPr>
        <w:t>Pénztárgép önálló és pontos kezelése, napi zárás</w:t>
      </w:r>
    </w:p>
    <w:p>
      <w:pPr>
        <w:pStyle w:val="ListBullet"/>
        <w:spacing w:after="40" w:before="0" w:line="240" w:lineRule="auto"/>
        <w:ind w:left="283"/>
      </w:pPr>
      <w:r>
        <w:rPr>
          <w:sz w:val="21"/>
        </w:rPr>
        <w:t>Árurendezés és árukihelyezés optimalizálása</w:t>
      </w:r>
    </w:p>
    <w:p>
      <w:pPr>
        <w:tabs>
          <w:tab w:pos="9865" w:val="right"/>
        </w:tabs>
        <w:spacing w:before="140" w:after="0"/>
      </w:pPr>
      <w:r>
        <w:rPr>
          <w:b/>
          <w:sz w:val="22"/>
        </w:rPr>
        <w:t>Várbazár</w:t>
      </w:r>
      <w:r>
        <w:rPr>
          <w:color w:val="555555"/>
          <w:sz w:val="19"/>
        </w:rPr>
        <w:tab/>
        <w:t>2015 - 2023</w:t>
      </w:r>
    </w:p>
    <w:p>
      <w:pPr>
        <w:spacing w:after="20"/>
      </w:pPr>
      <w:r>
        <w:rPr>
          <w:i/>
          <w:color w:val="8A4B6D"/>
          <w:sz w:val="19"/>
        </w:rPr>
        <w:t>Eladó, pénztáros</w:t>
      </w:r>
    </w:p>
    <w:p>
      <w:pPr>
        <w:pStyle w:val="ListBullet"/>
        <w:spacing w:after="40" w:before="0" w:line="240" w:lineRule="auto"/>
        <w:ind w:left="283"/>
      </w:pPr>
      <w:r>
        <w:rPr>
          <w:sz w:val="21"/>
        </w:rPr>
        <w:t>Vevőkiszolgálás, pénztárgépkezelés, árurendelés és készletgondozás</w:t>
      </w:r>
    </w:p>
    <w:p>
      <w:pPr>
        <w:tabs>
          <w:tab w:pos="9865" w:val="right"/>
        </w:tabs>
        <w:spacing w:before="140" w:after="0"/>
      </w:pPr>
      <w:r>
        <w:rPr>
          <w:b/>
          <w:sz w:val="22"/>
        </w:rPr>
        <w:t>Berci ABC</w:t>
      </w:r>
      <w:r>
        <w:rPr>
          <w:color w:val="555555"/>
          <w:sz w:val="19"/>
        </w:rPr>
        <w:tab/>
        <w:t>2008 - 2015</w:t>
      </w:r>
    </w:p>
    <w:p>
      <w:pPr>
        <w:spacing w:after="20"/>
      </w:pPr>
      <w:r>
        <w:rPr>
          <w:i/>
          <w:color w:val="8A4B6D"/>
          <w:sz w:val="19"/>
        </w:rPr>
        <w:t>Eladó, pénztáros</w:t>
      </w:r>
    </w:p>
    <w:p>
      <w:pPr>
        <w:pStyle w:val="ListBullet"/>
        <w:spacing w:after="40" w:before="0" w:line="240" w:lineRule="auto"/>
        <w:ind w:left="283"/>
      </w:pPr>
      <w:r>
        <w:rPr>
          <w:sz w:val="21"/>
        </w:rPr>
        <w:t>Vevőkiszolgálás, pénztárgépkezelés, árukezelés, szavatosság ellenőrzése</w:t>
      </w:r>
    </w:p>
    <w:p>
      <w:pPr>
        <w:tabs>
          <w:tab w:pos="9865" w:val="right"/>
        </w:tabs>
        <w:spacing w:before="140" w:after="0"/>
      </w:pPr>
      <w:r>
        <w:rPr>
          <w:b/>
          <w:sz w:val="22"/>
        </w:rPr>
        <w:t>Mini Market</w:t>
      </w:r>
      <w:r>
        <w:rPr>
          <w:color w:val="555555"/>
          <w:sz w:val="19"/>
        </w:rPr>
        <w:tab/>
        <w:t>1998 - 2007</w:t>
      </w:r>
    </w:p>
    <w:p>
      <w:pPr>
        <w:spacing w:after="20"/>
      </w:pPr>
      <w:r>
        <w:rPr>
          <w:i/>
          <w:color w:val="8A4B6D"/>
          <w:sz w:val="19"/>
        </w:rPr>
        <w:t>Eladó, pénztáros</w:t>
      </w:r>
    </w:p>
    <w:p>
      <w:pPr>
        <w:pStyle w:val="ListBullet"/>
        <w:spacing w:after="40" w:before="0" w:line="240" w:lineRule="auto"/>
        <w:ind w:left="283"/>
      </w:pPr>
      <w:r>
        <w:rPr>
          <w:sz w:val="21"/>
        </w:rPr>
        <w:t>Vevőkiszolgálás, pénztárgépkezelés, árukezelés</w:t>
      </w:r>
    </w:p>
    <w:p>
      <w:pPr>
        <w:spacing w:before="240" w:after="100"/>
        <w:pBdr>
          <w:bottom w:val="single" w:sz="6" w:space="2" w:color="8A4B6D"/>
        </w:pBdr>
      </w:pPr>
      <w:r>
        <w:rPr>
          <w:b/>
          <w:color w:val="8A4B6D"/>
          <w:sz w:val="22"/>
        </w:rPr>
        <w:t>TANULMÁNYOK</w:t>
      </w:r>
    </w:p>
    <w:p>
      <w:pPr>
        <w:tabs>
          <w:tab w:pos="9865" w:val="right"/>
        </w:tabs>
        <w:spacing w:before="140" w:after="0"/>
      </w:pPr>
      <w:r>
        <w:rPr>
          <w:b/>
          <w:sz w:val="22"/>
        </w:rPr>
        <w:t>Informatikai Alapozó Képzés (online)</w:t>
      </w:r>
      <w:r>
        <w:rPr>
          <w:color w:val="555555"/>
          <w:sz w:val="19"/>
        </w:rPr>
        <w:tab/>
        <w:t>2022. 03 - 2022. 05</w:t>
      </w:r>
    </w:p>
    <w:p>
      <w:pPr>
        <w:spacing w:after="20"/>
      </w:pPr>
      <w:r>
        <w:rPr>
          <w:i/>
          <w:color w:val="8A4B6D"/>
          <w:sz w:val="19"/>
        </w:rPr>
        <w:t>Windows felhasználói alapok</w:t>
      </w:r>
    </w:p>
    <w:p>
      <w:pPr>
        <w:tabs>
          <w:tab w:pos="9865" w:val="right"/>
        </w:tabs>
        <w:spacing w:before="140" w:after="0"/>
      </w:pPr>
      <w:r>
        <w:rPr>
          <w:b/>
          <w:sz w:val="22"/>
        </w:rPr>
        <w:t>Vendéglátó, Idegenforgalmi és Kereskedelmi Középiskola</w:t>
      </w:r>
      <w:r>
        <w:rPr>
          <w:color w:val="555555"/>
          <w:sz w:val="19"/>
        </w:rPr>
        <w:tab/>
        <w:t>2006. 09 - 2008. 06</w:t>
      </w:r>
    </w:p>
    <w:p>
      <w:pPr>
        <w:spacing w:after="20"/>
      </w:pPr>
      <w:r>
        <w:rPr>
          <w:i/>
          <w:color w:val="8A4B6D"/>
          <w:sz w:val="19"/>
        </w:rPr>
        <w:t>Érettségi</w:t>
      </w:r>
    </w:p>
    <w:p>
      <w:pPr>
        <w:tabs>
          <w:tab w:pos="9865" w:val="right"/>
        </w:tabs>
        <w:spacing w:before="140" w:after="0"/>
      </w:pPr>
      <w:r>
        <w:rPr>
          <w:b/>
          <w:sz w:val="22"/>
        </w:rPr>
        <w:t>Kereskedelmi és Vendéglátóipari Szakmunkásképző Iskola</w:t>
      </w:r>
      <w:r>
        <w:rPr>
          <w:color w:val="555555"/>
          <w:sz w:val="19"/>
        </w:rPr>
        <w:tab/>
        <w:t>1995. 09 - 1998. 06</w:t>
      </w:r>
    </w:p>
    <w:p>
      <w:pPr>
        <w:spacing w:after="20"/>
      </w:pPr>
      <w:r>
        <w:rPr>
          <w:i/>
          <w:color w:val="8A4B6D"/>
          <w:sz w:val="19"/>
        </w:rPr>
        <w:t>Élelmiszer- és vegyiáru eladó</w:t>
      </w:r>
    </w:p>
    <w:tbl>
      <w:tblPr>
        <w:tblW w:type="auto" w:w="0"/>
        <w:jc w:val="left"/>
        <w:tblLook w:firstColumn="1" w:firstRow="1" w:lastColumn="0" w:lastRow="0" w:noHBand="0" w:noVBand="1" w:val="04A0"/>
        <w:tblBorders>
          <w:top w:val="none" w:sz="0"/>
          <w:left w:val="none" w:sz="0"/>
          <w:bottom w:val="none" w:sz="0"/>
          <w:right w:val="none" w:sz="0"/>
          <w:insideH w:val="none" w:sz="0"/>
          <w:insideV w:val="none" w:sz="0"/>
        </w:tblBorders>
      </w:tblPr>
      <w:tblGrid>
        <w:gridCol w:w="5100"/>
        <w:gridCol w:w="5100"/>
      </w:tblGrid>
      <w:tr>
        <w:tc>
          <w:tcPr>
            <w:tcW w:type="dxa" w:w="4762"/>
          </w:tcPr>
          <w:p>
            <w:pPr>
              <w:spacing w:before="240" w:after="100"/>
              <w:pBdr>
                <w:bottom w:val="single" w:sz="6" w:space="2" w:color="8A4B6D"/>
              </w:pBdr>
            </w:pPr>
            <w:r>
              <w:rPr>
                <w:b/>
                <w:color w:val="8A4B6D"/>
                <w:sz w:val="22"/>
              </w:rPr>
              <w:t>KÉSZSÉGEK</w:t>
            </w:r>
          </w:p>
          <w:p>
            <w:pPr>
              <w:pStyle w:val="ListBullet"/>
              <w:spacing w:after="40" w:before="0" w:line="240" w:lineRule="auto"/>
              <w:ind w:left="283"/>
            </w:pPr>
            <w:r>
              <w:rPr>
                <w:sz w:val="21"/>
              </w:rPr>
              <w:t>Alapfokú felhasználói szintű számítógépes ismeretek</w:t>
            </w:r>
          </w:p>
          <w:p>
            <w:pPr>
              <w:pStyle w:val="ListBullet"/>
              <w:spacing w:after="40" w:before="0" w:line="240" w:lineRule="auto"/>
              <w:ind w:left="283"/>
            </w:pPr>
            <w:r>
              <w:rPr>
                <w:sz w:val="21"/>
              </w:rPr>
              <w:t>Alapfokú angol nyelvtudás</w:t>
            </w:r>
          </w:p>
          <w:p>
            <w:pPr>
              <w:pStyle w:val="ListBullet"/>
              <w:spacing w:after="40" w:before="0" w:line="240" w:lineRule="auto"/>
              <w:ind w:left="283"/>
            </w:pPr>
            <w:r>
              <w:rPr>
                <w:sz w:val="21"/>
              </w:rPr>
              <w:t>„B” kategóriás jogosítvány (2003 óta)</w:t>
            </w:r>
          </w:p>
        </w:tc>
        <w:tc>
          <w:tcPr>
            <w:tcW w:type="dxa" w:w="4762"/>
          </w:tcPr>
          <w:p>
            <w:pPr>
              <w:spacing w:before="240" w:after="100"/>
              <w:pBdr>
                <w:bottom w:val="single" w:sz="6" w:space="2" w:color="8A4B6D"/>
              </w:pBdr>
            </w:pPr>
            <w:r>
              <w:rPr>
                <w:b/>
                <w:color w:val="8A4B6D"/>
                <w:sz w:val="22"/>
              </w:rPr>
              <w:t>KOMPETENCIÁK ÉS ERŐSSÉGEK</w:t>
            </w:r>
          </w:p>
          <w:p>
            <w:pPr>
              <w:pStyle w:val="ListBullet"/>
              <w:spacing w:after="40" w:before="0" w:line="240" w:lineRule="auto"/>
              <w:ind w:left="283"/>
            </w:pPr>
            <w:r>
              <w:rPr>
                <w:sz w:val="21"/>
              </w:rPr>
              <w:t>Megbízható, kitartó és pontos</w:t>
            </w:r>
          </w:p>
          <w:p>
            <w:pPr>
              <w:pStyle w:val="ListBullet"/>
              <w:spacing w:after="40" w:before="0" w:line="240" w:lineRule="auto"/>
              <w:ind w:left="283"/>
            </w:pPr>
            <w:r>
              <w:rPr>
                <w:sz w:val="21"/>
              </w:rPr>
              <w:t>Türelmes, kiegyensúlyozott, higgadt stresszhelyzetben is</w:t>
            </w:r>
          </w:p>
          <w:p>
            <w:pPr>
              <w:pStyle w:val="ListBullet"/>
              <w:spacing w:after="40" w:before="0" w:line="240" w:lineRule="auto"/>
              <w:ind w:left="283"/>
            </w:pPr>
            <w:r>
              <w:rPr>
                <w:sz w:val="21"/>
              </w:rPr>
              <w:t>Diplomatikus, jó konfliktuskezelő</w:t>
            </w:r>
          </w:p>
          <w:p>
            <w:pPr>
              <w:pStyle w:val="ListBullet"/>
              <w:spacing w:after="40" w:before="0" w:line="240" w:lineRule="auto"/>
              <w:ind w:left="283"/>
            </w:pPr>
            <w:r>
              <w:rPr>
                <w:sz w:val="21"/>
              </w:rPr>
              <w:t>Alkalmazkodó és csapatorientált</w:t>
            </w:r>
          </w:p>
          <w:p>
            <w:pPr>
              <w:pStyle w:val="ListBullet"/>
              <w:spacing w:after="40" w:before="0" w:line="240" w:lineRule="auto"/>
              <w:ind w:left="283"/>
            </w:pPr>
            <w:r>
              <w:rPr>
                <w:sz w:val="21"/>
              </w:rPr>
              <w:t>Figyelmes, jó hallgatóság, ügyfélközpontú szemlélet</w:t>
            </w:r>
          </w:p>
        </w:tc>
      </w:tr>
    </w:tbl>
    <w:sectPr w:rsidR="00FC693F" w:rsidRPr="0006063C" w:rsidSect="00034616">
      <w:pgSz w:w="12240" w:h="15840"/>
      <w:pgMar w:top="794" w:right="1020" w:bottom="68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240" w:lineRule="auto"/>
    </w:pPr>
    <w:rPr>
      <w:rFonts w:ascii="Calibri" w:hAnsi="Calibri" w:eastAsia="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